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附件一：</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both"/>
        <w:textAlignment w:val="auto"/>
        <w:rPr>
          <w:rFonts w:hint="eastAsia" w:ascii="新宋体" w:hAnsi="新宋体" w:eastAsia="新宋体" w:cs="新宋体"/>
          <w:b/>
          <w:bCs/>
          <w:color w:val="auto"/>
          <w:sz w:val="30"/>
          <w:szCs w:val="30"/>
        </w:rPr>
      </w:pPr>
      <w:r>
        <w:rPr>
          <w:rFonts w:hint="eastAsia" w:ascii="新宋体" w:hAnsi="新宋体" w:eastAsia="新宋体" w:cs="新宋体"/>
          <w:b/>
          <w:bCs/>
          <w:color w:val="auto"/>
          <w:sz w:val="30"/>
          <w:szCs w:val="30"/>
          <w:lang w:eastAsia="zh-CN"/>
        </w:rPr>
        <w:t>一、</w:t>
      </w:r>
      <w:r>
        <w:rPr>
          <w:rFonts w:hint="eastAsia" w:ascii="新宋体" w:hAnsi="新宋体" w:eastAsia="新宋体" w:cs="新宋体"/>
          <w:b/>
          <w:bCs/>
          <w:color w:val="auto"/>
          <w:sz w:val="30"/>
          <w:szCs w:val="30"/>
        </w:rPr>
        <w:t>政府采购质疑投诉处理与案例分析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第一部分 质疑和投诉处理存在的主要问题与对策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w:t>
      </w:r>
      <w:r>
        <w:rPr>
          <w:rFonts w:hint="eastAsia" w:ascii="方正仿宋_GB2312" w:hAnsi="方正仿宋_GB2312" w:eastAsia="方正仿宋_GB2312" w:cs="方正仿宋_GB2312"/>
          <w:color w:val="auto"/>
          <w:sz w:val="30"/>
          <w:szCs w:val="30"/>
        </w:rPr>
        <w:t>、如何确定质疑范围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2</w:t>
      </w:r>
      <w:r>
        <w:rPr>
          <w:rFonts w:hint="eastAsia" w:ascii="方正仿宋_GB2312" w:hAnsi="方正仿宋_GB2312" w:eastAsia="方正仿宋_GB2312" w:cs="方正仿宋_GB2312"/>
          <w:color w:val="auto"/>
          <w:sz w:val="30"/>
          <w:szCs w:val="30"/>
        </w:rPr>
        <w:t>、质疑的期间如何起算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3</w:t>
      </w:r>
      <w:r>
        <w:rPr>
          <w:rFonts w:hint="eastAsia" w:ascii="方正仿宋_GB2312" w:hAnsi="方正仿宋_GB2312" w:eastAsia="方正仿宋_GB2312" w:cs="方正仿宋_GB2312"/>
          <w:color w:val="auto"/>
          <w:sz w:val="30"/>
          <w:szCs w:val="30"/>
        </w:rPr>
        <w:t>、质疑供应商与质疑答复主体</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4</w:t>
      </w:r>
      <w:r>
        <w:rPr>
          <w:rFonts w:hint="eastAsia" w:ascii="方正仿宋_GB2312" w:hAnsi="方正仿宋_GB2312" w:eastAsia="方正仿宋_GB2312" w:cs="方正仿宋_GB2312"/>
          <w:color w:val="auto"/>
          <w:sz w:val="30"/>
          <w:szCs w:val="30"/>
        </w:rPr>
        <w:t>、质疑是否有受理的条件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5</w:t>
      </w:r>
      <w:r>
        <w:rPr>
          <w:rFonts w:hint="eastAsia" w:ascii="方正仿宋_GB2312" w:hAnsi="方正仿宋_GB2312" w:eastAsia="方正仿宋_GB2312" w:cs="方正仿宋_GB2312"/>
          <w:color w:val="auto"/>
          <w:sz w:val="30"/>
          <w:szCs w:val="30"/>
        </w:rPr>
        <w:t>、质疑函未明确具体质疑事项和与质疑请求的如何处理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6</w:t>
      </w:r>
      <w:r>
        <w:rPr>
          <w:rFonts w:hint="eastAsia" w:ascii="方正仿宋_GB2312" w:hAnsi="方正仿宋_GB2312" w:eastAsia="方正仿宋_GB2312" w:cs="方正仿宋_GB2312"/>
          <w:color w:val="auto"/>
          <w:sz w:val="30"/>
          <w:szCs w:val="30"/>
        </w:rPr>
        <w:t>、举证责任与调查取证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7</w:t>
      </w:r>
      <w:r>
        <w:rPr>
          <w:rFonts w:hint="eastAsia" w:ascii="方正仿宋_GB2312" w:hAnsi="方正仿宋_GB2312" w:eastAsia="方正仿宋_GB2312" w:cs="方正仿宋_GB2312"/>
          <w:color w:val="auto"/>
          <w:sz w:val="30"/>
          <w:szCs w:val="30"/>
        </w:rPr>
        <w:t>、质疑答复的内容与处理结果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8</w:t>
      </w:r>
      <w:r>
        <w:rPr>
          <w:rFonts w:hint="eastAsia" w:ascii="方正仿宋_GB2312" w:hAnsi="方正仿宋_GB2312" w:eastAsia="方正仿宋_GB2312" w:cs="方正仿宋_GB2312"/>
          <w:color w:val="auto"/>
          <w:sz w:val="30"/>
          <w:szCs w:val="30"/>
        </w:rPr>
        <w:t>、供应商投诉的事项超出已质疑事项的范围如何处理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9</w:t>
      </w:r>
      <w:r>
        <w:rPr>
          <w:rFonts w:hint="eastAsia" w:ascii="方正仿宋_GB2312" w:hAnsi="方正仿宋_GB2312" w:eastAsia="方正仿宋_GB2312" w:cs="方正仿宋_GB2312"/>
          <w:color w:val="auto"/>
          <w:sz w:val="30"/>
          <w:szCs w:val="30"/>
        </w:rPr>
        <w:t>、投诉处理部门与管辖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10</w:t>
      </w:r>
      <w:r>
        <w:rPr>
          <w:rFonts w:hint="eastAsia" w:ascii="方正仿宋_GB2312" w:hAnsi="方正仿宋_GB2312" w:eastAsia="方正仿宋_GB2312" w:cs="方正仿宋_GB2312"/>
          <w:color w:val="auto"/>
          <w:sz w:val="30"/>
          <w:szCs w:val="30"/>
        </w:rPr>
        <w:t>、投诉的条件与投诉受理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11</w:t>
      </w:r>
      <w:r>
        <w:rPr>
          <w:rFonts w:hint="eastAsia" w:ascii="方正仿宋_GB2312" w:hAnsi="方正仿宋_GB2312" w:eastAsia="方正仿宋_GB2312" w:cs="方正仿宋_GB2312"/>
          <w:color w:val="auto"/>
          <w:sz w:val="30"/>
          <w:szCs w:val="30"/>
        </w:rPr>
        <w:t>、被投诉人和与投诉事项有关供应商的说明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12</w:t>
      </w:r>
      <w:r>
        <w:rPr>
          <w:rFonts w:hint="eastAsia" w:ascii="方正仿宋_GB2312" w:hAnsi="方正仿宋_GB2312" w:eastAsia="方正仿宋_GB2312" w:cs="方正仿宋_GB2312"/>
          <w:color w:val="auto"/>
          <w:sz w:val="30"/>
          <w:szCs w:val="30"/>
        </w:rPr>
        <w:t>、财政部门如何调查取证与组织质证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13</w:t>
      </w:r>
      <w:r>
        <w:rPr>
          <w:rFonts w:hint="eastAsia" w:ascii="方正仿宋_GB2312" w:hAnsi="方正仿宋_GB2312" w:eastAsia="方正仿宋_GB2312" w:cs="方正仿宋_GB2312"/>
          <w:color w:val="auto"/>
          <w:sz w:val="30"/>
          <w:szCs w:val="30"/>
        </w:rPr>
        <w:t>、投诉处理期限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14</w:t>
      </w:r>
      <w:r>
        <w:rPr>
          <w:rFonts w:hint="eastAsia" w:ascii="方正仿宋_GB2312" w:hAnsi="方正仿宋_GB2312" w:eastAsia="方正仿宋_GB2312" w:cs="方正仿宋_GB2312"/>
          <w:color w:val="auto"/>
          <w:sz w:val="30"/>
          <w:szCs w:val="30"/>
        </w:rPr>
        <w:t>、暂停采购活动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15</w:t>
      </w:r>
      <w:r>
        <w:rPr>
          <w:rFonts w:hint="eastAsia" w:ascii="方正仿宋_GB2312" w:hAnsi="方正仿宋_GB2312" w:eastAsia="方正仿宋_GB2312" w:cs="方正仿宋_GB2312"/>
          <w:color w:val="auto"/>
          <w:sz w:val="30"/>
          <w:szCs w:val="30"/>
        </w:rPr>
        <w:t>、驳回投诉的情形与撤回投诉的处理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16</w:t>
      </w:r>
      <w:r>
        <w:rPr>
          <w:rFonts w:hint="eastAsia" w:ascii="方正仿宋_GB2312" w:hAnsi="方正仿宋_GB2312" w:eastAsia="方正仿宋_GB2312" w:cs="方正仿宋_GB2312"/>
          <w:color w:val="auto"/>
          <w:sz w:val="30"/>
          <w:szCs w:val="30"/>
        </w:rPr>
        <w:t>、投诉处理结果与投诉处理决定</w:t>
      </w:r>
      <w:r>
        <w:rPr>
          <w:rFonts w:hint="eastAsia" w:ascii="方正仿宋_GB2312" w:hAnsi="方正仿宋_GB2312" w:eastAsia="方正仿宋_GB2312" w:cs="方正仿宋_GB2312"/>
          <w:color w:val="auto"/>
          <w:sz w:val="30"/>
          <w:szCs w:val="30"/>
        </w:rPr>
        <w:cr/>
      </w:r>
      <w:r>
        <w:rPr>
          <w:rFonts w:hint="eastAsia" w:ascii="方正仿宋_GB2312" w:hAnsi="方正仿宋_GB2312" w:eastAsia="方正仿宋_GB2312" w:cs="方正仿宋_GB2312"/>
          <w:color w:val="auto"/>
          <w:sz w:val="30"/>
          <w:szCs w:val="30"/>
        </w:rPr>
        <w:t xml:space="preserve">            </w:t>
      </w:r>
      <w:r>
        <w:rPr>
          <w:rFonts w:hint="eastAsia" w:ascii="黑体" w:hAnsi="黑体" w:eastAsia="黑体" w:cs="黑体"/>
          <w:b w:val="0"/>
          <w:bCs w:val="0"/>
          <w:color w:val="auto"/>
          <w:sz w:val="30"/>
          <w:szCs w:val="30"/>
        </w:rPr>
        <w:t xml:space="preserve"> 第二部分 政府采购典型案例分析</w:t>
      </w:r>
      <w:r>
        <w:rPr>
          <w:rFonts w:hint="eastAsia" w:ascii="黑体" w:hAnsi="黑体" w:eastAsia="黑体" w:cs="黑体"/>
          <w:b w:val="0"/>
          <w:bCs w:val="0"/>
          <w:color w:val="auto"/>
          <w:sz w:val="30"/>
          <w:szCs w:val="30"/>
        </w:rPr>
        <w:cr/>
      </w:r>
      <w:r>
        <w:rPr>
          <w:rFonts w:hint="eastAsia" w:ascii="方正仿宋_GB2312" w:hAnsi="方正仿宋_GB2312" w:eastAsia="方正仿宋_GB2312" w:cs="方正仿宋_GB2312"/>
          <w:b/>
          <w:bCs/>
          <w:color w:val="auto"/>
          <w:sz w:val="30"/>
          <w:szCs w:val="30"/>
          <w:lang w:val="en-US" w:eastAsia="zh-CN"/>
        </w:rPr>
        <w:t xml:space="preserve">    </w:t>
      </w:r>
      <w:r>
        <w:rPr>
          <w:rFonts w:hint="eastAsia" w:ascii="方正仿宋_GB2312" w:hAnsi="方正仿宋_GB2312" w:eastAsia="方正仿宋_GB2312" w:cs="方正仿宋_GB2312"/>
          <w:color w:val="auto"/>
          <w:sz w:val="30"/>
          <w:szCs w:val="30"/>
        </w:rPr>
        <w:t>案例一：如何认定投标报价是否低于合理价格？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 xml:space="preserve">案例二：N公司与S公司同属于Z公司投资的关联企业，蒋某分别担任N公司的法定代表人和S公司的董事长，N公司与S公司是否构成串通投标？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案例三：如何认定投标文件存在异常一致？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案例四：评标委员会成员评审的具体内容是否可以公开？</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案例五：投诉人之投诉事项未损害其合法权益是否可以提起投诉？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案例六：财政部门在投诉处理过程中发现的其他问题应当如何处理？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案例七：设备采购项目中如何设置技术参数与评审因素？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案例八：法人分支机构是否可以参加采购活动？法人存在重大违法记录是否及于分支机构？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案例九：招标文件如何要求投标人提供检测报告？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案例十：如何规定类似业绩的认定标准？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案例十一：招标文件如何设置新旧设别对接规则？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案例十二：招标文件如何设置样品的评审因素？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案例十三：招标文件是否可以设置主观评审因素？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案例十四：境外注册企业是否可以依据《中小企业划型标准》认定？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案例十五：竞争性谈判文件如何设置实质性条件？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案例十六：如何认定中标产品是否符合招标文件要求？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新宋体" w:hAnsi="新宋体" w:eastAsia="新宋体" w:cs="新宋体"/>
          <w:b/>
          <w:bCs/>
          <w:color w:val="auto"/>
          <w:sz w:val="30"/>
          <w:szCs w:val="30"/>
          <w:lang w:val="en-US" w:eastAsia="zh-CN"/>
        </w:rPr>
      </w:pPr>
      <w:r>
        <w:rPr>
          <w:rFonts w:hint="eastAsia" w:ascii="方正仿宋_GB2312" w:hAnsi="方正仿宋_GB2312" w:eastAsia="方正仿宋_GB2312" w:cs="方正仿宋_GB2312"/>
          <w:color w:val="auto"/>
          <w:sz w:val="30"/>
          <w:szCs w:val="30"/>
        </w:rPr>
        <w:t>案例十七：采购项目存在“先实施后招标”的情形如何处理？</w:t>
      </w:r>
      <w:r>
        <w:rPr>
          <w:rFonts w:hint="eastAsia" w:ascii="方正仿宋_GB2312" w:hAnsi="方正仿宋_GB2312" w:eastAsia="方正仿宋_GB2312" w:cs="方正仿宋_GB2312"/>
          <w:color w:val="auto"/>
          <w:sz w:val="30"/>
          <w:szCs w:val="30"/>
        </w:rPr>
        <w:cr/>
      </w:r>
      <w:r>
        <w:rPr>
          <w:rFonts w:hint="eastAsia" w:ascii="方正仿宋_GB2312" w:hAnsi="方正仿宋_GB2312" w:eastAsia="方正仿宋_GB2312" w:cs="方正仿宋_GB2312"/>
          <w:color w:val="auto"/>
          <w:sz w:val="30"/>
          <w:szCs w:val="30"/>
          <w:lang w:val="en-US" w:eastAsia="zh-CN"/>
        </w:rPr>
        <w:t xml:space="preserve">    </w:t>
      </w:r>
      <w:r>
        <w:rPr>
          <w:rFonts w:hint="eastAsia" w:ascii="新宋体" w:hAnsi="新宋体" w:eastAsia="新宋体" w:cs="新宋体"/>
          <w:b/>
          <w:bCs/>
          <w:color w:val="auto"/>
          <w:sz w:val="30"/>
          <w:szCs w:val="30"/>
          <w:lang w:val="en-US" w:eastAsia="zh-CN"/>
        </w:rPr>
        <w:t>二、解读</w:t>
      </w:r>
      <w:r>
        <w:rPr>
          <w:rFonts w:hint="eastAsia" w:ascii="新宋体" w:hAnsi="新宋体" w:eastAsia="新宋体" w:cs="新宋体"/>
          <w:b/>
          <w:bCs/>
          <w:color w:val="auto"/>
          <w:sz w:val="30"/>
          <w:szCs w:val="30"/>
        </w:rPr>
        <w:t xml:space="preserve">《建设工程工程量清单计价标准》GB/T 50500-2024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val="en-US" w:eastAsia="zh-CN"/>
        </w:rPr>
        <w:t xml:space="preserve">第一部分 </w:t>
      </w:r>
      <w:r>
        <w:rPr>
          <w:rFonts w:hint="eastAsia" w:ascii="黑体" w:hAnsi="黑体" w:eastAsia="黑体" w:cs="黑体"/>
          <w:b w:val="0"/>
          <w:bCs w:val="0"/>
          <w:color w:val="auto"/>
          <w:sz w:val="30"/>
          <w:szCs w:val="30"/>
        </w:rPr>
        <w:t>计价标准修编内容综述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lang w:val="en-US" w:eastAsia="zh-CN"/>
        </w:rPr>
        <w:t>1</w:t>
      </w:r>
      <w:r>
        <w:rPr>
          <w:rFonts w:hint="eastAsia" w:ascii="方正仿宋_GB2312" w:hAnsi="方正仿宋_GB2312" w:eastAsia="方正仿宋_GB2312" w:cs="方正仿宋_GB2312"/>
          <w:color w:val="auto"/>
          <w:sz w:val="30"/>
          <w:szCs w:val="30"/>
        </w:rPr>
        <w:t>、修编过程及目的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主要修编内容及作用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jc w:val="left"/>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主要变化及编制特点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lang w:val="en-US" w:eastAsia="zh-CN"/>
        </w:rPr>
        <w:t xml:space="preserve">第二部分 </w:t>
      </w:r>
      <w:r>
        <w:rPr>
          <w:rFonts w:hint="eastAsia" w:ascii="黑体" w:hAnsi="黑体" w:eastAsia="黑体" w:cs="黑体"/>
          <w:b w:val="0"/>
          <w:bCs w:val="0"/>
          <w:color w:val="auto"/>
          <w:sz w:val="30"/>
          <w:szCs w:val="30"/>
        </w:rPr>
        <w:t>变更计价规则之理解和运用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1、工程变更的定义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2、变更计价规则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3、项目特征的变更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4、施工条件的变更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5、工程数量的变更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6、措施项目费用的变更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7、合同条款规定改变的变更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8、合同调整单价换算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9、替代性变更的计价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10、安全生产措施费调整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color w:val="auto"/>
          <w:sz w:val="30"/>
          <w:szCs w:val="30"/>
        </w:rPr>
      </w:pPr>
      <w:r>
        <w:rPr>
          <w:rFonts w:hint="eastAsia" w:ascii="黑体" w:hAnsi="黑体" w:eastAsia="黑体" w:cs="黑体"/>
          <w:b w:val="0"/>
          <w:bCs w:val="0"/>
          <w:color w:val="auto"/>
          <w:sz w:val="30"/>
          <w:szCs w:val="30"/>
          <w:lang w:val="en-US" w:eastAsia="zh-CN"/>
        </w:rPr>
        <w:t xml:space="preserve">第三部分 </w:t>
      </w:r>
      <w:r>
        <w:rPr>
          <w:rFonts w:hint="eastAsia" w:ascii="黑体" w:hAnsi="黑体" w:eastAsia="黑体" w:cs="黑体"/>
          <w:b w:val="0"/>
          <w:bCs w:val="0"/>
          <w:color w:val="auto"/>
          <w:sz w:val="30"/>
          <w:szCs w:val="30"/>
        </w:rPr>
        <w:t>工程索赔之责任确定及其计价规则和处理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1、工程索赔的定义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2、发承包双方的基本责任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3、发包人责任所引致索赔</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4、承包人责任所引致索赔</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5、非发承包双方责任所引致索赔</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6、索赔事件确定及其处理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7、补偿/赔偿费用之计价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8、索赔工期及工期索赔计价</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hint="eastAsia" w:ascii="新宋体" w:hAnsi="新宋体" w:eastAsia="新宋体" w:cs="新宋体"/>
          <w:b/>
          <w:bCs/>
          <w:color w:val="auto"/>
          <w:sz w:val="30"/>
          <w:szCs w:val="30"/>
        </w:rPr>
      </w:pPr>
      <w:r>
        <w:rPr>
          <w:rFonts w:hint="eastAsia" w:ascii="新宋体" w:hAnsi="新宋体" w:eastAsia="新宋体" w:cs="新宋体"/>
          <w:b/>
          <w:bCs/>
          <w:color w:val="auto"/>
          <w:sz w:val="30"/>
          <w:szCs w:val="30"/>
          <w:lang w:val="en-US" w:eastAsia="zh-CN"/>
        </w:rPr>
        <w:t>三、工程招投标异议、</w:t>
      </w:r>
      <w:bookmarkStart w:id="1" w:name="_GoBack"/>
      <w:bookmarkEnd w:id="1"/>
      <w:r>
        <w:rPr>
          <w:rFonts w:hint="eastAsia" w:ascii="新宋体" w:hAnsi="新宋体" w:eastAsia="新宋体" w:cs="新宋体"/>
          <w:b/>
          <w:bCs/>
          <w:color w:val="auto"/>
          <w:sz w:val="30"/>
          <w:szCs w:val="30"/>
        </w:rPr>
        <w:t>投诉处理与案例分析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第一部分 招标文件编制对招投标活动的影响及法律责任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1、招标文件中排斥性条款和限制性条款对投标人的影响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2、招标文件中业绩要求的“不确定性”对招标投标活动的影响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3、招标文件应如何设置“经评审的最低投标价法”的重要内容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4、工程建设项目与《招标投标法》等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第二部分 关于异议、投诉的法定要求以及相关案例分析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1、异议人和受理异议以及异议处理的相关规定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2、依法必须招标项目“不进场”招标的法律责任及案例分析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3、正确理解招标文件中引用的国家规定对招标投标活动的影响及相关案例分析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方正仿宋_GB2312" w:hAnsi="方正仿宋_GB2312" w:eastAsia="方正仿宋_GB2312" w:cs="方正仿宋_GB2312"/>
          <w:color w:val="auto"/>
          <w:sz w:val="30"/>
          <w:szCs w:val="30"/>
          <w:lang w:val="en-US" w:eastAsia="zh-CN"/>
        </w:rPr>
        <w:sectPr>
          <w:pgSz w:w="11906" w:h="16838"/>
          <w:pgMar w:top="2041" w:right="1474" w:bottom="1984" w:left="1587" w:header="851" w:footer="992" w:gutter="0"/>
          <w:cols w:space="425" w:num="1"/>
          <w:docGrid w:type="lines" w:linePitch="312" w:charSpace="0"/>
        </w:sectPr>
      </w:pPr>
      <w:r>
        <w:rPr>
          <w:rFonts w:hint="eastAsia" w:ascii="方正仿宋_GB2312" w:hAnsi="方正仿宋_GB2312" w:eastAsia="方正仿宋_GB2312" w:cs="方正仿宋_GB2312"/>
          <w:color w:val="auto"/>
          <w:sz w:val="30"/>
          <w:szCs w:val="30"/>
          <w:lang w:val="en-US" w:eastAsia="zh-CN"/>
        </w:rPr>
        <w:t>4、项目负责人（注册建造师）在两个及以上法人单位受聘或者任职的规定以及发生变更的法律效率问题相关案例分析等。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附件</w:t>
      </w:r>
      <w:r>
        <w:rPr>
          <w:rFonts w:hint="eastAsia" w:ascii="方正仿宋_GB2312" w:hAnsi="方正仿宋_GB2312" w:eastAsia="方正仿宋_GB2312" w:cs="方正仿宋_GB2312"/>
          <w:b w:val="0"/>
          <w:bCs/>
          <w:color w:val="auto"/>
          <w:sz w:val="30"/>
          <w:szCs w:val="30"/>
          <w:lang w:eastAsia="zh-CN"/>
        </w:rPr>
        <w:t>二</w:t>
      </w:r>
      <w:r>
        <w:rPr>
          <w:rFonts w:hint="eastAsia" w:ascii="方正仿宋_GB2312" w:hAnsi="方正仿宋_GB2312" w:eastAsia="方正仿宋_GB2312" w:cs="方正仿宋_GB2312"/>
          <w:b w:val="0"/>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30"/>
          <w:szCs w:val="30"/>
        </w:rPr>
      </w:pPr>
      <w:bookmarkStart w:id="0" w:name="OLE_LINK1"/>
      <w:r>
        <w:rPr>
          <w:rFonts w:hint="eastAsia" w:asciiTheme="minorEastAsia" w:hAnsiTheme="minorEastAsia" w:eastAsiaTheme="minorEastAsia" w:cstheme="minorEastAsia"/>
          <w:b/>
          <w:color w:val="auto"/>
          <w:sz w:val="30"/>
          <w:szCs w:val="30"/>
        </w:rPr>
        <w:t>培训班报名表</w:t>
      </w:r>
      <w:bookmarkEnd w:id="0"/>
      <w:r>
        <w:rPr>
          <w:rFonts w:hint="eastAsia" w:asciiTheme="minorEastAsia" w:hAnsiTheme="minorEastAsia" w:eastAsiaTheme="minorEastAsia" w:cstheme="minorEastAsia"/>
          <w:b/>
          <w:color w:val="auto"/>
          <w:sz w:val="30"/>
          <w:szCs w:val="30"/>
        </w:rPr>
        <w:t xml:space="preserve">  </w:t>
      </w:r>
    </w:p>
    <w:tbl>
      <w:tblPr>
        <w:tblStyle w:val="3"/>
        <w:tblpPr w:leftFromText="180" w:rightFromText="180" w:vertAnchor="text" w:horzAnchor="margin" w:tblpXSpec="center" w:tblpY="158"/>
        <w:tblW w:w="10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715"/>
        <w:gridCol w:w="1950"/>
        <w:gridCol w:w="2096"/>
        <w:gridCol w:w="3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单位名称</w:t>
            </w:r>
          </w:p>
        </w:tc>
        <w:tc>
          <w:tcPr>
            <w:tcW w:w="47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0"/>
                <w:sz w:val="18"/>
                <w:szCs w:val="18"/>
              </w:rPr>
            </w:pPr>
          </w:p>
        </w:tc>
        <w:tc>
          <w:tcPr>
            <w:tcW w:w="35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
                <w:bCs/>
                <w:color w:val="auto"/>
                <w:kern w:val="0"/>
                <w:sz w:val="18"/>
                <w:szCs w:val="18"/>
                <w:lang w:val="en-US" w:eastAsia="zh-CN"/>
              </w:rPr>
              <w:t>□理事及以上</w:t>
            </w:r>
            <w:r>
              <w:rPr>
                <w:rFonts w:hint="eastAsia" w:asciiTheme="minorEastAsia" w:hAnsiTheme="minorEastAsia" w:eastAsiaTheme="minorEastAsia" w:cstheme="minorEastAsia"/>
                <w:b/>
                <w:bCs/>
                <w:color w:val="auto"/>
                <w:kern w:val="0"/>
                <w:sz w:val="18"/>
                <w:szCs w:val="18"/>
              </w:rPr>
              <w:t xml:space="preserve">  □</w:t>
            </w:r>
            <w:r>
              <w:rPr>
                <w:rFonts w:hint="eastAsia" w:asciiTheme="minorEastAsia" w:hAnsiTheme="minorEastAsia" w:eastAsiaTheme="minorEastAsia" w:cstheme="minorEastAsia"/>
                <w:b/>
                <w:bCs/>
                <w:color w:val="auto"/>
                <w:kern w:val="0"/>
                <w:sz w:val="18"/>
                <w:szCs w:val="18"/>
                <w:lang w:val="en-US" w:eastAsia="zh-CN"/>
              </w:rPr>
              <w:t>会员</w:t>
            </w:r>
            <w:r>
              <w:rPr>
                <w:rFonts w:hint="eastAsia" w:asciiTheme="minorEastAsia" w:hAnsiTheme="minorEastAsia" w:eastAsiaTheme="minorEastAsia" w:cstheme="minorEastAsia"/>
                <w:b/>
                <w:bCs/>
                <w:color w:val="auto"/>
                <w:kern w:val="0"/>
                <w:sz w:val="18"/>
                <w:szCs w:val="18"/>
              </w:rPr>
              <w:t xml:space="preserve">  </w:t>
            </w:r>
            <w:r>
              <w:rPr>
                <w:rFonts w:hint="eastAsia" w:asciiTheme="minorEastAsia" w:hAnsiTheme="minorEastAsia" w:eastAsiaTheme="minorEastAsia" w:cstheme="minorEastAsia"/>
                <w:b/>
                <w:bCs/>
                <w:color w:val="auto"/>
                <w:kern w:val="0"/>
                <w:sz w:val="18"/>
                <w:szCs w:val="18"/>
                <w:lang w:eastAsia="zh-CN"/>
              </w:rPr>
              <w:t>□</w:t>
            </w:r>
            <w:r>
              <w:rPr>
                <w:rFonts w:hint="eastAsia" w:asciiTheme="minorEastAsia" w:hAnsiTheme="minorEastAsia" w:eastAsiaTheme="minorEastAsia" w:cstheme="minorEastAsia"/>
                <w:b/>
                <w:bCs/>
                <w:color w:val="auto"/>
                <w:kern w:val="0"/>
                <w:sz w:val="18"/>
                <w:szCs w:val="18"/>
                <w:lang w:val="en-US" w:eastAsia="zh-CN"/>
              </w:rPr>
              <w:t>非会员</w:t>
            </w:r>
            <w:r>
              <w:rPr>
                <w:rFonts w:hint="eastAsia" w:asciiTheme="minorEastAsia" w:hAnsiTheme="minorEastAsia" w:eastAsiaTheme="minorEastAsia" w:cstheme="minorEastAsia"/>
                <w:b/>
                <w:bCs/>
                <w:color w:val="auto"/>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联系人</w:t>
            </w:r>
          </w:p>
        </w:tc>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Cs/>
                <w:color w:val="auto"/>
                <w:kern w:val="0"/>
                <w:sz w:val="18"/>
                <w:szCs w:val="18"/>
              </w:rPr>
            </w:pPr>
          </w:p>
        </w:tc>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联系电话（必填）</w:t>
            </w:r>
          </w:p>
        </w:tc>
        <w:tc>
          <w:tcPr>
            <w:tcW w:w="3530"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传  真</w:t>
            </w:r>
          </w:p>
        </w:tc>
        <w:tc>
          <w:tcPr>
            <w:tcW w:w="26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Cs/>
                <w:color w:val="auto"/>
                <w:kern w:val="0"/>
                <w:sz w:val="18"/>
                <w:szCs w:val="18"/>
              </w:rPr>
            </w:pPr>
          </w:p>
        </w:tc>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电子邮箱</w:t>
            </w:r>
          </w:p>
        </w:tc>
        <w:tc>
          <w:tcPr>
            <w:tcW w:w="3530" w:type="dxa"/>
            <w:noWrap w:val="0"/>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姓  名</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性别</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职  务</w:t>
            </w:r>
          </w:p>
        </w:tc>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手机号码</w:t>
            </w:r>
          </w:p>
        </w:tc>
        <w:tc>
          <w:tcPr>
            <w:tcW w:w="3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常用电子邮箱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3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3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20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c>
          <w:tcPr>
            <w:tcW w:w="3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after="50" w:line="380" w:lineRule="exact"/>
              <w:jc w:val="center"/>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住宿安排</w:t>
            </w:r>
          </w:p>
        </w:tc>
        <w:tc>
          <w:tcPr>
            <w:tcW w:w="829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
                <w:color w:val="auto"/>
                <w:kern w:val="0"/>
                <w:sz w:val="18"/>
                <w:szCs w:val="18"/>
              </w:rPr>
              <w:t>共需要：</w:t>
            </w:r>
            <w:r>
              <w:rPr>
                <w:rFonts w:hint="eastAsia" w:asciiTheme="minorEastAsia" w:hAnsiTheme="minorEastAsia" w:eastAsiaTheme="minorEastAsia" w:cstheme="minorEastAsia"/>
                <w:b/>
                <w:color w:val="auto"/>
                <w:kern w:val="0"/>
                <w:sz w:val="18"/>
                <w:szCs w:val="18"/>
                <w:lang w:val="en-US" w:eastAsia="zh-CN"/>
              </w:rPr>
              <w:t>双床房</w:t>
            </w:r>
            <w:r>
              <w:rPr>
                <w:rFonts w:hint="eastAsia" w:asciiTheme="minorEastAsia" w:hAnsiTheme="minorEastAsia" w:eastAsiaTheme="minorEastAsia" w:cstheme="minorEastAsia"/>
                <w:b/>
                <w:color w:val="auto"/>
                <w:kern w:val="0"/>
                <w:sz w:val="18"/>
                <w:szCs w:val="18"/>
              </w:rPr>
              <w:t>（</w:t>
            </w:r>
            <w:r>
              <w:rPr>
                <w:rFonts w:hint="eastAsia" w:asciiTheme="minorEastAsia" w:hAnsiTheme="minorEastAsia" w:eastAsiaTheme="minorEastAsia" w:cstheme="minorEastAsia"/>
                <w:b/>
                <w:color w:val="auto"/>
                <w:kern w:val="0"/>
                <w:sz w:val="18"/>
                <w:szCs w:val="18"/>
                <w:u w:val="single"/>
              </w:rPr>
              <w:t xml:space="preserve">   </w:t>
            </w:r>
            <w:r>
              <w:rPr>
                <w:rFonts w:hint="eastAsia" w:asciiTheme="minorEastAsia" w:hAnsiTheme="minorEastAsia" w:eastAsiaTheme="minorEastAsia" w:cstheme="minorEastAsia"/>
                <w:b/>
                <w:color w:val="auto"/>
                <w:kern w:val="0"/>
                <w:sz w:val="18"/>
                <w:szCs w:val="18"/>
              </w:rPr>
              <w:t xml:space="preserve">）间      或  </w:t>
            </w:r>
            <w:r>
              <w:rPr>
                <w:rFonts w:hint="eastAsia" w:asciiTheme="minorEastAsia" w:hAnsiTheme="minorEastAsia" w:eastAsiaTheme="minorEastAsia" w:cstheme="minorEastAsia"/>
                <w:b/>
                <w:color w:val="auto"/>
                <w:kern w:val="0"/>
                <w:sz w:val="18"/>
                <w:szCs w:val="18"/>
                <w:lang w:val="en-US" w:eastAsia="zh-CN"/>
              </w:rPr>
              <w:t>□</w:t>
            </w:r>
            <w:r>
              <w:rPr>
                <w:rFonts w:hint="eastAsia" w:asciiTheme="minorEastAsia" w:hAnsiTheme="minorEastAsia" w:eastAsiaTheme="minorEastAsia" w:cstheme="minorEastAsia"/>
                <w:b/>
                <w:color w:val="auto"/>
                <w:kern w:val="0"/>
                <w:sz w:val="18"/>
                <w:szCs w:val="18"/>
              </w:rPr>
              <w:t>不需住宿</w:t>
            </w:r>
          </w:p>
          <w:p>
            <w:pPr>
              <w:keepNext w:val="0"/>
              <w:keepLines w:val="0"/>
              <w:pageBreakBefore w:val="0"/>
              <w:widowControl w:val="0"/>
              <w:kinsoku/>
              <w:wordWrap/>
              <w:overflowPunct/>
              <w:topLinePunct w:val="0"/>
              <w:autoSpaceDE/>
              <w:autoSpaceDN/>
              <w:bidi w:val="0"/>
              <w:adjustRightInd/>
              <w:snapToGrid/>
              <w:spacing w:line="340" w:lineRule="exact"/>
              <w:ind w:firstLine="723" w:firstLineChars="400"/>
              <w:jc w:val="left"/>
              <w:textAlignment w:val="auto"/>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
                <w:color w:val="auto"/>
                <w:kern w:val="0"/>
                <w:sz w:val="18"/>
                <w:szCs w:val="18"/>
                <w:lang w:val="en-US" w:eastAsia="zh-CN"/>
              </w:rPr>
              <w:t>大床房</w:t>
            </w:r>
            <w:r>
              <w:rPr>
                <w:rFonts w:hint="eastAsia" w:asciiTheme="minorEastAsia" w:hAnsiTheme="minorEastAsia" w:eastAsiaTheme="minorEastAsia" w:cstheme="minorEastAsia"/>
                <w:b/>
                <w:color w:val="auto"/>
                <w:kern w:val="0"/>
                <w:sz w:val="18"/>
                <w:szCs w:val="18"/>
              </w:rPr>
              <w:t>（</w:t>
            </w:r>
            <w:r>
              <w:rPr>
                <w:rFonts w:hint="eastAsia" w:asciiTheme="minorEastAsia" w:hAnsiTheme="minorEastAsia" w:eastAsiaTheme="minorEastAsia" w:cstheme="minorEastAsia"/>
                <w:b/>
                <w:color w:val="auto"/>
                <w:kern w:val="0"/>
                <w:sz w:val="18"/>
                <w:szCs w:val="18"/>
                <w:u w:val="single"/>
              </w:rPr>
              <w:t xml:space="preserve">   </w:t>
            </w:r>
            <w:r>
              <w:rPr>
                <w:rFonts w:hint="eastAsia" w:asciiTheme="minorEastAsia" w:hAnsiTheme="minorEastAsia" w:eastAsiaTheme="minorEastAsia" w:cstheme="minorEastAsia"/>
                <w:b/>
                <w:color w:val="auto"/>
                <w:kern w:val="0"/>
                <w:sz w:val="18"/>
                <w:szCs w:val="18"/>
              </w:rPr>
              <w:t xml:space="preserve">）间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
                <w:color w:val="auto"/>
                <w:kern w:val="0"/>
                <w:sz w:val="18"/>
                <w:szCs w:val="18"/>
              </w:rPr>
              <w:t>培训酒店住宿房间协议价：</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
                <w:color w:val="auto"/>
                <w:kern w:val="0"/>
                <w:sz w:val="18"/>
                <w:szCs w:val="18"/>
                <w:lang w:val="en-US" w:eastAsia="zh-CN"/>
              </w:rPr>
              <w:t>大床房</w:t>
            </w:r>
            <w:r>
              <w:rPr>
                <w:rFonts w:hint="eastAsia" w:asciiTheme="minorEastAsia" w:hAnsiTheme="minorEastAsia" w:eastAsiaTheme="minorEastAsia" w:cstheme="minorEastAsia"/>
                <w:b/>
                <w:color w:val="auto"/>
                <w:kern w:val="0"/>
                <w:sz w:val="18"/>
                <w:szCs w:val="18"/>
              </w:rPr>
              <w:t>:</w:t>
            </w:r>
            <w:r>
              <w:rPr>
                <w:rFonts w:hint="eastAsia" w:asciiTheme="minorEastAsia" w:hAnsiTheme="minorEastAsia" w:eastAsiaTheme="minorEastAsia" w:cstheme="minorEastAsia"/>
                <w:b/>
                <w:color w:val="auto"/>
                <w:kern w:val="0"/>
                <w:sz w:val="18"/>
                <w:szCs w:val="18"/>
                <w:lang w:val="en-US" w:eastAsia="zh-CN"/>
              </w:rPr>
              <w:t>380</w:t>
            </w:r>
            <w:r>
              <w:rPr>
                <w:rFonts w:hint="eastAsia" w:asciiTheme="minorEastAsia" w:hAnsiTheme="minorEastAsia" w:eastAsiaTheme="minorEastAsia" w:cstheme="minorEastAsia"/>
                <w:b/>
                <w:color w:val="auto"/>
                <w:kern w:val="0"/>
                <w:sz w:val="18"/>
                <w:szCs w:val="18"/>
              </w:rPr>
              <w:t>元/间/天（含</w:t>
            </w:r>
            <w:r>
              <w:rPr>
                <w:rFonts w:hint="eastAsia" w:asciiTheme="minorEastAsia" w:hAnsiTheme="minorEastAsia" w:eastAsiaTheme="minorEastAsia" w:cstheme="minorEastAsia"/>
                <w:b/>
                <w:color w:val="auto"/>
                <w:kern w:val="0"/>
                <w:sz w:val="18"/>
                <w:szCs w:val="18"/>
                <w:lang w:val="en-US" w:eastAsia="zh-CN"/>
              </w:rPr>
              <w:t>1份</w:t>
            </w:r>
            <w:r>
              <w:rPr>
                <w:rFonts w:hint="eastAsia" w:asciiTheme="minorEastAsia" w:hAnsiTheme="minorEastAsia" w:eastAsiaTheme="minorEastAsia" w:cstheme="minorEastAsia"/>
                <w:b/>
                <w:color w:val="auto"/>
                <w:kern w:val="0"/>
                <w:sz w:val="18"/>
                <w:szCs w:val="18"/>
              </w:rPr>
              <w:t xml:space="preserve">早餐） </w:t>
            </w:r>
            <w:r>
              <w:rPr>
                <w:rFonts w:hint="eastAsia" w:asciiTheme="minorEastAsia" w:hAnsiTheme="minorEastAsia" w:eastAsiaTheme="minorEastAsia" w:cstheme="minorEastAsia"/>
                <w:b/>
                <w:color w:val="auto"/>
                <w:kern w:val="0"/>
                <w:sz w:val="18"/>
                <w:szCs w:val="18"/>
                <w:lang w:val="en-US" w:eastAsia="zh-CN"/>
              </w:rPr>
              <w:t xml:space="preserve"> 双床房</w:t>
            </w:r>
            <w:r>
              <w:rPr>
                <w:rFonts w:hint="eastAsia" w:asciiTheme="minorEastAsia" w:hAnsiTheme="minorEastAsia" w:eastAsiaTheme="minorEastAsia" w:cstheme="minorEastAsia"/>
                <w:b/>
                <w:color w:val="auto"/>
                <w:kern w:val="0"/>
                <w:sz w:val="18"/>
                <w:szCs w:val="18"/>
              </w:rPr>
              <w:t>：</w:t>
            </w:r>
            <w:r>
              <w:rPr>
                <w:rFonts w:hint="eastAsia" w:asciiTheme="minorEastAsia" w:hAnsiTheme="minorEastAsia" w:eastAsiaTheme="minorEastAsia" w:cstheme="minorEastAsia"/>
                <w:b/>
                <w:color w:val="auto"/>
                <w:kern w:val="0"/>
                <w:sz w:val="18"/>
                <w:szCs w:val="18"/>
                <w:lang w:val="en-US" w:eastAsia="zh-CN"/>
              </w:rPr>
              <w:t>380</w:t>
            </w:r>
            <w:r>
              <w:rPr>
                <w:rFonts w:hint="eastAsia" w:asciiTheme="minorEastAsia" w:hAnsiTheme="minorEastAsia" w:eastAsiaTheme="minorEastAsia" w:cstheme="minorEastAsia"/>
                <w:b/>
                <w:color w:val="auto"/>
                <w:kern w:val="0"/>
                <w:sz w:val="18"/>
                <w:szCs w:val="18"/>
              </w:rPr>
              <w:t>元/间/天（含</w:t>
            </w:r>
            <w:r>
              <w:rPr>
                <w:rFonts w:hint="eastAsia" w:asciiTheme="minorEastAsia" w:hAnsiTheme="minorEastAsia" w:eastAsiaTheme="minorEastAsia" w:cstheme="minorEastAsia"/>
                <w:b/>
                <w:color w:val="auto"/>
                <w:kern w:val="0"/>
                <w:sz w:val="18"/>
                <w:szCs w:val="18"/>
                <w:lang w:val="en-US" w:eastAsia="zh-CN"/>
              </w:rPr>
              <w:t>2份</w:t>
            </w:r>
            <w:r>
              <w:rPr>
                <w:rFonts w:hint="eastAsia" w:asciiTheme="minorEastAsia" w:hAnsiTheme="minorEastAsia" w:eastAsiaTheme="minorEastAsia" w:cstheme="minorEastAsia"/>
                <w:b/>
                <w:color w:val="auto"/>
                <w:kern w:val="0"/>
                <w:sz w:val="18"/>
                <w:szCs w:val="18"/>
              </w:rPr>
              <w:t>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178" w:type="dxa"/>
            <w:noWrap w:val="0"/>
            <w:vAlign w:val="center"/>
          </w:tcPr>
          <w:p>
            <w:pPr>
              <w:keepNext w:val="0"/>
              <w:keepLines w:val="0"/>
              <w:pageBreakBefore w:val="0"/>
              <w:widowControl w:val="0"/>
              <w:kinsoku/>
              <w:wordWrap/>
              <w:overflowPunct/>
              <w:topLinePunct w:val="0"/>
              <w:autoSpaceDE/>
              <w:autoSpaceDN/>
              <w:bidi w:val="0"/>
              <w:adjustRightInd/>
              <w:snapToGrid/>
              <w:spacing w:after="50" w:line="380" w:lineRule="exact"/>
              <w:jc w:val="center"/>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希望与专家交流的问题</w:t>
            </w:r>
          </w:p>
        </w:tc>
        <w:tc>
          <w:tcPr>
            <w:tcW w:w="829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69" w:type="dxa"/>
            <w:gridSpan w:val="5"/>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增值税专用发票信息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color w:val="auto"/>
                <w:sz w:val="18"/>
                <w:szCs w:val="18"/>
              </w:rPr>
              <w:t>（全部信息均需要与单位财务确认无误，保证填写正确。）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78"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50" w:line="380" w:lineRule="exact"/>
              <w:jc w:val="left"/>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rPr>
              <w:t>开发票单位名称：</w:t>
            </w:r>
          </w:p>
        </w:tc>
        <w:tc>
          <w:tcPr>
            <w:tcW w:w="8291" w:type="dxa"/>
            <w:gridSpan w:val="4"/>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78"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rPr>
              <w:t>纳税人识别号：</w:t>
            </w:r>
          </w:p>
        </w:tc>
        <w:tc>
          <w:tcPr>
            <w:tcW w:w="8291" w:type="dxa"/>
            <w:gridSpan w:val="4"/>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78"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rPr>
              <w:t>单位地址、电话：</w:t>
            </w:r>
          </w:p>
        </w:tc>
        <w:tc>
          <w:tcPr>
            <w:tcW w:w="8291" w:type="dxa"/>
            <w:gridSpan w:val="4"/>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78"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rPr>
              <w:t>开户银行、账号：</w:t>
            </w:r>
          </w:p>
        </w:tc>
        <w:tc>
          <w:tcPr>
            <w:tcW w:w="8291" w:type="dxa"/>
            <w:gridSpan w:val="4"/>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2178" w:type="dxa"/>
            <w:tcBorders>
              <w:top w:val="nil"/>
              <w:left w:val="single" w:color="auto" w:sz="4" w:space="0"/>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50" w:line="380" w:lineRule="exact"/>
              <w:jc w:val="center"/>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lang w:val="en-US" w:eastAsia="zh-CN"/>
              </w:rPr>
              <w:t>电子发票收件邮箱</w:t>
            </w:r>
            <w:r>
              <w:rPr>
                <w:rFonts w:hint="eastAsia" w:asciiTheme="minorEastAsia" w:hAnsiTheme="minorEastAsia" w:eastAsiaTheme="minorEastAsia" w:cstheme="minorEastAsia"/>
                <w:b/>
                <w:bCs/>
                <w:color w:val="auto"/>
                <w:kern w:val="0"/>
                <w:sz w:val="18"/>
                <w:szCs w:val="18"/>
              </w:rPr>
              <w:t>：</w:t>
            </w:r>
          </w:p>
        </w:tc>
        <w:tc>
          <w:tcPr>
            <w:tcW w:w="8291"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69" w:type="dxa"/>
            <w:gridSpan w:val="5"/>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color w:val="auto"/>
                <w:sz w:val="18"/>
                <w:szCs w:val="18"/>
              </w:rPr>
              <w:t>增值税普通发票信息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78"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50" w:line="380" w:lineRule="exact"/>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rPr>
              <w:t>开发票单位名称：</w:t>
            </w:r>
          </w:p>
        </w:tc>
        <w:tc>
          <w:tcPr>
            <w:tcW w:w="8291" w:type="dxa"/>
            <w:gridSpan w:val="4"/>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78" w:type="dxa"/>
            <w:tcBorders>
              <w:top w:val="nil"/>
              <w:left w:val="single" w:color="auto" w:sz="4" w:space="0"/>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50" w:line="380" w:lineRule="exact"/>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rPr>
              <w:t>纳税人识别号：</w:t>
            </w:r>
          </w:p>
        </w:tc>
        <w:tc>
          <w:tcPr>
            <w:tcW w:w="8291" w:type="dxa"/>
            <w:gridSpan w:val="4"/>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2178" w:type="dxa"/>
            <w:tcBorders>
              <w:top w:val="nil"/>
              <w:left w:val="single" w:color="auto" w:sz="4" w:space="0"/>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after="50" w:line="380" w:lineRule="exact"/>
              <w:jc w:val="left"/>
              <w:textAlignment w:val="auto"/>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bCs/>
                <w:color w:val="auto"/>
                <w:kern w:val="0"/>
                <w:sz w:val="18"/>
                <w:szCs w:val="18"/>
                <w:lang w:val="en-US" w:eastAsia="zh-CN"/>
              </w:rPr>
              <w:t>电子发票收件邮箱</w:t>
            </w:r>
            <w:r>
              <w:rPr>
                <w:rFonts w:hint="eastAsia" w:asciiTheme="minorEastAsia" w:hAnsiTheme="minorEastAsia" w:eastAsiaTheme="minorEastAsia" w:cstheme="minorEastAsia"/>
                <w:b/>
                <w:bCs/>
                <w:color w:val="auto"/>
                <w:kern w:val="0"/>
                <w:sz w:val="18"/>
                <w:szCs w:val="18"/>
              </w:rPr>
              <w:t>：</w:t>
            </w:r>
          </w:p>
        </w:tc>
        <w:tc>
          <w:tcPr>
            <w:tcW w:w="8291"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kern w:val="0"/>
                <w:sz w:val="18"/>
                <w:szCs w:val="18"/>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特别提醒：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1．为使您取得好的培训效果，请提前学习，并将问题填在报名表中；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2．请完整、正确填写您单位的开票信息</w:t>
      </w:r>
      <w:r>
        <w:rPr>
          <w:rFonts w:hint="eastAsia" w:ascii="方正仿宋_GB2312" w:hAnsi="方正仿宋_GB2312" w:eastAsia="方正仿宋_GB2312" w:cs="方正仿宋_GB2312"/>
          <w:b w:val="0"/>
          <w:bCs/>
          <w:color w:val="auto"/>
          <w:sz w:val="24"/>
          <w:szCs w:val="24"/>
          <w:lang w:val="en-US" w:eastAsia="zh-CN"/>
        </w:rPr>
        <w:t>和发票收件邮箱</w:t>
      </w:r>
      <w:r>
        <w:rPr>
          <w:rFonts w:hint="eastAsia" w:ascii="方正仿宋_GB2312" w:hAnsi="方正仿宋_GB2312" w:eastAsia="方正仿宋_GB2312" w:cs="方正仿宋_GB2312"/>
          <w:b w:val="0"/>
          <w:bCs/>
          <w:color w:val="auto"/>
          <w:sz w:val="24"/>
          <w:szCs w:val="24"/>
        </w:rPr>
        <w:t>，以便为您开具好发票，可现场现金、</w:t>
      </w:r>
      <w:r>
        <w:rPr>
          <w:rFonts w:hint="eastAsia" w:ascii="方正仿宋_GB2312" w:hAnsi="方正仿宋_GB2312" w:eastAsia="方正仿宋_GB2312" w:cs="方正仿宋_GB2312"/>
          <w:b w:val="0"/>
          <w:bCs/>
          <w:color w:val="auto"/>
          <w:sz w:val="24"/>
          <w:szCs w:val="24"/>
          <w:lang w:val="en-US" w:eastAsia="zh-CN"/>
        </w:rPr>
        <w:t>支付宝</w:t>
      </w:r>
      <w:r>
        <w:rPr>
          <w:rFonts w:hint="eastAsia" w:ascii="方正仿宋_GB2312" w:hAnsi="方正仿宋_GB2312" w:eastAsia="方正仿宋_GB2312" w:cs="方正仿宋_GB2312"/>
          <w:b w:val="0"/>
          <w:bCs/>
          <w:color w:val="auto"/>
          <w:sz w:val="24"/>
          <w:szCs w:val="24"/>
        </w:rPr>
        <w:t>或提前汇款缴纳培训费用（专票或普票信息按需要选一种填写即可）；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24"/>
          <w:szCs w:val="24"/>
        </w:rPr>
        <w:t>3．</w:t>
      </w:r>
      <w:r>
        <w:rPr>
          <w:rFonts w:hint="eastAsia" w:ascii="方正仿宋_GB2312" w:hAnsi="方正仿宋_GB2312" w:eastAsia="方正仿宋_GB2312" w:cs="方正仿宋_GB2312"/>
          <w:b w:val="0"/>
          <w:bCs/>
          <w:color w:val="auto"/>
          <w:sz w:val="24"/>
          <w:szCs w:val="24"/>
        </w:rPr>
        <w:tab/>
      </w:r>
      <w:r>
        <w:rPr>
          <w:rFonts w:hint="eastAsia" w:ascii="方正仿宋_GB2312" w:hAnsi="方正仿宋_GB2312" w:eastAsia="方正仿宋_GB2312" w:cs="方正仿宋_GB2312"/>
          <w:b w:val="0"/>
          <w:bCs/>
          <w:color w:val="auto"/>
          <w:sz w:val="24"/>
          <w:szCs w:val="24"/>
        </w:rPr>
        <w:t>请将填好的报名表发送至：</w:t>
      </w:r>
      <w:r>
        <w:rPr>
          <w:rFonts w:hint="eastAsia" w:ascii="方正仿宋_GB2312" w:hAnsi="方正仿宋_GB2312" w:eastAsia="方正仿宋_GB2312" w:cs="方正仿宋_GB2312"/>
          <w:b w:val="0"/>
          <w:bCs/>
          <w:color w:val="auto"/>
          <w:sz w:val="24"/>
          <w:szCs w:val="24"/>
        </w:rPr>
        <w:fldChar w:fldCharType="begin"/>
      </w:r>
      <w:r>
        <w:rPr>
          <w:rFonts w:hint="eastAsia" w:ascii="方正仿宋_GB2312" w:hAnsi="方正仿宋_GB2312" w:eastAsia="方正仿宋_GB2312" w:cs="方正仿宋_GB2312"/>
          <w:b w:val="0"/>
          <w:bCs/>
          <w:color w:val="auto"/>
          <w:sz w:val="24"/>
          <w:szCs w:val="24"/>
        </w:rPr>
        <w:instrText xml:space="preserve"> HYPERLINK "mailto:ctbapeixunbu@126.com（湖北省内单位或省外湖北分支机构报名表发送至" </w:instrText>
      </w:r>
      <w:r>
        <w:rPr>
          <w:rFonts w:hint="eastAsia" w:ascii="方正仿宋_GB2312" w:hAnsi="方正仿宋_GB2312" w:eastAsia="方正仿宋_GB2312" w:cs="方正仿宋_GB2312"/>
          <w:b w:val="0"/>
          <w:bCs/>
          <w:color w:val="auto"/>
          <w:sz w:val="24"/>
          <w:szCs w:val="24"/>
        </w:rPr>
        <w:fldChar w:fldCharType="separate"/>
      </w:r>
      <w:r>
        <w:rPr>
          <w:rFonts w:hint="eastAsia" w:ascii="方正仿宋_GB2312" w:hAnsi="方正仿宋_GB2312" w:eastAsia="方正仿宋_GB2312" w:cs="方正仿宋_GB2312"/>
          <w:b w:val="0"/>
          <w:bCs/>
          <w:color w:val="auto"/>
          <w:sz w:val="24"/>
          <w:szCs w:val="24"/>
          <w:lang w:val="en-US" w:eastAsia="zh-CN"/>
        </w:rPr>
        <w:t>2359505026@qq</w:t>
      </w:r>
      <w:r>
        <w:rPr>
          <w:rFonts w:hint="eastAsia" w:ascii="方正仿宋_GB2312" w:hAnsi="方正仿宋_GB2312" w:eastAsia="方正仿宋_GB2312" w:cs="方正仿宋_GB2312"/>
          <w:b w:val="0"/>
          <w:bCs/>
          <w:color w:val="auto"/>
          <w:sz w:val="24"/>
          <w:szCs w:val="24"/>
        </w:rPr>
        <w:t>.com</w:t>
      </w:r>
      <w:r>
        <w:rPr>
          <w:rFonts w:hint="eastAsia" w:ascii="方正仿宋_GB2312" w:hAnsi="方正仿宋_GB2312" w:eastAsia="方正仿宋_GB2312" w:cs="方正仿宋_GB2312"/>
          <w:b w:val="0"/>
          <w:bCs/>
          <w:color w:val="auto"/>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99B4A3-296D-4483-BED2-8C0E276ACC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CDB52B37-0F42-4BC5-9CB6-7BE516CCC5C9}"/>
  </w:font>
  <w:font w:name="新宋体">
    <w:panose1 w:val="02010609030101010101"/>
    <w:charset w:val="86"/>
    <w:family w:val="auto"/>
    <w:pitch w:val="default"/>
    <w:sig w:usb0="00000203" w:usb1="288F0000" w:usb2="00000006" w:usb3="00000000" w:csb0="00040001" w:csb1="00000000"/>
    <w:embedRegular r:id="rId3" w:fontKey="{3747614E-9BFF-4845-B3E5-DCE1391A5D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A702A"/>
    <w:multiLevelType w:val="singleLevel"/>
    <w:tmpl w:val="987A702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TFmZTk3YTQ5YmQ1ZDQ3NWQyZjkzYjM4NmJmYWIifQ=="/>
  </w:docVars>
  <w:rsids>
    <w:rsidRoot w:val="7BF86C3A"/>
    <w:rsid w:val="026266CB"/>
    <w:rsid w:val="0363588C"/>
    <w:rsid w:val="04A430D0"/>
    <w:rsid w:val="05A20992"/>
    <w:rsid w:val="0E466C4C"/>
    <w:rsid w:val="13C94A30"/>
    <w:rsid w:val="14E60C13"/>
    <w:rsid w:val="16602AFC"/>
    <w:rsid w:val="17D528BE"/>
    <w:rsid w:val="1BB02B52"/>
    <w:rsid w:val="1DA222BC"/>
    <w:rsid w:val="2011099D"/>
    <w:rsid w:val="209C3FCE"/>
    <w:rsid w:val="21970E9A"/>
    <w:rsid w:val="2892794E"/>
    <w:rsid w:val="31377326"/>
    <w:rsid w:val="37684986"/>
    <w:rsid w:val="43E01C6A"/>
    <w:rsid w:val="45B829C9"/>
    <w:rsid w:val="4805084F"/>
    <w:rsid w:val="493354CD"/>
    <w:rsid w:val="4A7E23A7"/>
    <w:rsid w:val="4AB8332D"/>
    <w:rsid w:val="50507BFE"/>
    <w:rsid w:val="52C75604"/>
    <w:rsid w:val="555E463F"/>
    <w:rsid w:val="567E5BBD"/>
    <w:rsid w:val="57E96553"/>
    <w:rsid w:val="62E45367"/>
    <w:rsid w:val="67717495"/>
    <w:rsid w:val="6A126C4B"/>
    <w:rsid w:val="76283D5C"/>
    <w:rsid w:val="7BF8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qFormat/>
    <w:uiPriority w:val="99"/>
    <w:rPr>
      <w:rFonts w:cs="Times New Roman"/>
      <w:color w:val="0000FF"/>
      <w:u w:val="single"/>
    </w:rPr>
  </w:style>
  <w:style w:type="paragraph" w:styleId="7">
    <w:name w:val="List Paragraph"/>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1720</Words>
  <Characters>1761</Characters>
  <Lines>0</Lines>
  <Paragraphs>0</Paragraphs>
  <TotalTime>316</TotalTime>
  <ScaleCrop>false</ScaleCrop>
  <LinksUpToDate>false</LinksUpToDate>
  <CharactersWithSpaces>1826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2025-10-14T08:11:00Z</dcterms:created>
  <dc:creator>WPS_1482304238</dc:creator>
  <cp:lastModifiedBy>雨龙_Phil</cp:lastModifiedBy>
  <cp:lastPrinted>2025-10-20T09:03:00Z</cp:lastPrinted>
  <dcterms:modified xsi:type="dcterms:W3CDTF">2025-10-21T01:54:02Z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3D194362F0EE4408A373EF09DC443123_13</vt:lpwstr>
  </property>
  <property fmtid="{D5CDD505-2E9C-101B-9397-08002B2CF9AE}" pid="4" name="KSOTemplateDocerSaveRecord">
    <vt:lpwstr>eyJoZGlkIjoiNGI1MWUxYmY5NzE2MGI0ZGJlZmZjNTVlNjk4NDUzNDMiLCJ1c2VySWQiOiI4NTAwMDQxMzkifQ==</vt:lpwstr>
  </property>
</Properties>
</file>